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隆兴实业杯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年岳阳市创新创业大赛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暨现代石化专业赛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一、大赛主题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创新创业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圆梦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岳阳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二</w:t>
      </w:r>
      <w:r>
        <w:rPr>
          <w:rFonts w:hint="eastAsia" w:ascii="黑体" w:hAnsi="黑体" w:eastAsia="黑体"/>
          <w:sz w:val="32"/>
        </w:rPr>
        <w:t>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指导单位：湖南省创新创业大赛组委会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主办单位：岳阳市人民政府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承办单位：岳阳市科学技术局、云溪区人民政府、岳阳绿色化工高新技术产业开发区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协办单位：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发展改革委、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教育局、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工业和信息化局、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财政局、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人力资源社会保障局、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市委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网信办、团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委、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工商联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云溪区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科技和工业信息化</w:t>
      </w:r>
      <w:r>
        <w:rPr>
          <w:rFonts w:hint="eastAsia" w:ascii="仿宋_GB2312" w:hAnsi="仿宋" w:eastAsia="仿宋_GB2312"/>
          <w:sz w:val="32"/>
          <w:szCs w:val="32"/>
        </w:rPr>
        <w:t>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岳阳市化工行业协会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湖南长炼新材料科技股份公司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湖南聚仁化工新材料科技有限公司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冠名单位：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岳阳隆兴实业有限公司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大赛设组委会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由主办单位、承办单位和冠名单位共同组成，负责大赛的组织实施。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组委会下设办公室，办公室设在岳阳绿色化工高新技术产业开发区，负责大赛各项工作的具体执行。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组委会下设监督小组，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成员由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大赛组委会</w:t>
      </w:r>
      <w:r>
        <w:rPr>
          <w:rFonts w:hint="eastAsia" w:ascii="仿宋_GB2312" w:hAnsi="仿宋" w:eastAsia="仿宋_GB2312"/>
          <w:sz w:val="32"/>
          <w:szCs w:val="32"/>
          <w:u w:val="none"/>
        </w:rPr>
        <w:t>纪检监察部门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共同组成，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负责大赛全过程的监督工作。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参赛条件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岳阳市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内依法注册，具有独立法人资格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的科技型企业。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企业和项目需符合以下条件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较强的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创新能力和高成长潜力，主要从事高新技术产品研发、制造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服务等业务，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eastAsia="zh-CN"/>
        </w:rPr>
        <w:t>独立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拥有知识产权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知识产权已授权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且无产权纠纷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2022年1月1日之后注册的企业不作知识产权已授权要求，相关部门受理其知识产权申请即可报名。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企业经营规范、社会信誉良好、无不良记录，且为非上市企业。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（三）分小微企业组、成长企业组和现代石化小微企业组、现代石化成长企业组四个类别。小微组企业组2022年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营业收入不超过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2000万元（不含）；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成长组企业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营业收入为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2000万元（含）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2亿元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2023年一季度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社保缴费记录不少于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3人。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（五）参赛项目已投产运行，有产品销售收入。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（六）2020年（含）以来获省创新创业大赛专项支持的企业，以及历届省赛名次奖获奖企业可以报名参加市赛并获得推荐，但不参与省赛和市赛奖项评选，只择优推荐晋级全国赛。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（七）在历届大赛全国总决赛或全国行业总决赛中获得一、二、三名或一、二、三等奖的企业不参加本届大赛。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四、市</w:t>
      </w:r>
      <w:r>
        <w:rPr>
          <w:rFonts w:ascii="黑体" w:hAnsi="黑体" w:eastAsia="黑体" w:cs="黑体"/>
          <w:sz w:val="32"/>
          <w:szCs w:val="32"/>
        </w:rPr>
        <w:t>专业</w:t>
      </w:r>
      <w:r>
        <w:rPr>
          <w:rFonts w:hint="eastAsia" w:ascii="黑体" w:hAnsi="黑体" w:eastAsia="黑体" w:cs="黑体"/>
          <w:sz w:val="32"/>
          <w:szCs w:val="32"/>
        </w:rPr>
        <w:t>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firstLine="640" w:firstLineChars="200"/>
        <w:textAlignment w:val="auto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聚焦石油化工及新材料产业链，以构建“油头化尾”协调发展产业体系为主抓手，以突破关键核心技术为引领，加大高端材料、精细化工等开发力度，为实现高水平科技自立自强作出新的更大贡献。本次参赛方向分为</w:t>
      </w:r>
      <w:r>
        <w:rPr>
          <w:rFonts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  <w:lang w:val="e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石油化工加工产业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sz w:val="32"/>
          <w:szCs w:val="32"/>
          <w:lang w:val="en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精细化学品合成产业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  <w:lang w:val="e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先进高分子材料产业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/>
          <w:sz w:val="32"/>
          <w:szCs w:val="32"/>
          <w:lang w:val="e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能源化工产业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lang w:eastAsia="zh-CN"/>
        </w:rPr>
        <w:t>赛事安排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大赛分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筹备发动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组织报名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尽职调查、公示推荐等六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个环节。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eastAsia="zh-CN"/>
        </w:rPr>
        <w:t>（一）参赛流程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筹备发动。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大赛承办单位、协办单位、各级科技主管部门和高新园区要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通过专题部署会或培训会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，多渠道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将赛事信息向社会和媒体进行推介，动员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属地内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符合条件的企业积极报名参赛。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组织报名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注册报名。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参赛企业登录湖南省科技厅门户网站（http://kjt.hunan.gov.cn），进入“湖南省科技管理信息系统公共服务平台”（网址：http://61.187.87.55，以下简称“科管系统”）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</w:rPr>
        <w:t>注册报名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在线提交报名材料。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各参赛企业和项目负责人需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对参赛资料的真实性、完整性、准确性和规范性负责，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保证提交的参赛资料不涉及国家秘密和侵犯他人的合法权益。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若填报和上传的资料涉及国家和参赛企业秘密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，请提交前做好脱密处理。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报名截止时间：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审核确认。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市科技局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通过“</w:t>
      </w:r>
      <w:r>
        <w:rPr>
          <w:rFonts w:hint="eastAsia" w:ascii="仿宋_GB2312" w:hAnsi="仿宋_GB2312" w:eastAsia="仿宋_GB2312" w:cs="仿宋_GB2312"/>
          <w:color w:val="auto"/>
          <w:spacing w:val="-8"/>
          <w:kern w:val="0"/>
          <w:sz w:val="32"/>
          <w:szCs w:val="32"/>
          <w:highlight w:val="none"/>
          <w:lang w:eastAsia="zh-CN"/>
        </w:rPr>
        <w:t>科管系统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对参赛企业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资料的真实性、完整性、准确性和规范性进行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严格审核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，及时将参赛企业名单、项目反馈给各县区科技管理部门。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审核时限原则上为参赛企业提交后的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5个工作日内。若需要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参赛企业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补正材料的，采取一次性告知原则。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县市区科技管理部门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要强化风险意识、责任意识，切实加强对辖区内参赛企业的参赛条件、经营状况、信用情况、知识产权等审核把关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，重点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对是否已获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省科技创新计划立项支持的项目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进行查重比对，坚决杜绝同一项目重复参赛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并将参赛项目汇总形成推荐文件报市科技局。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审核确认截止时间：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初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赛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default" w:eastAsia="宋体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采用通讯评审或会议评审的方式进行比赛。</w:t>
      </w:r>
      <w:bookmarkStart w:id="0" w:name="_Hlk103868744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评委由技术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、财务、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创投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、管理专家等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7名专家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组成</w:t>
      </w:r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。评审专家根据参赛企业填报的项目资料进行评审，按得分成绩，根据各专业方向择优确定入围决赛项目。晋级比例原则上不超过初赛项目总数的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%。比赛得分低于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分的项目不得推荐晋级。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评审方式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参赛企业在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大赛</w:t>
      </w:r>
      <w:r>
        <w:rPr>
          <w:rFonts w:hint="eastAsia" w:ascii="仿宋_GB2312" w:hAnsi="仿宋_GB2312" w:eastAsia="仿宋_GB2312" w:cs="仿宋_GB2312"/>
          <w:sz w:val="32"/>
        </w:rPr>
        <w:t>系统提交的资料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，组织相关人员</w:t>
      </w:r>
      <w:r>
        <w:rPr>
          <w:rFonts w:hint="eastAsia" w:ascii="仿宋_GB2312" w:hAnsi="仿宋_GB2312" w:eastAsia="仿宋_GB2312" w:cs="仿宋_GB2312"/>
          <w:sz w:val="32"/>
        </w:rPr>
        <w:t>进行评审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评委组成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技术、财务、创投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领域，遴选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评委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得分方式。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去掉最高分和最低分，剩下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位评委平均分为最终得分，精确到小数点2位，得分在75分以上（包含75分）的项目晋级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公示结果。</w:t>
      </w:r>
      <w:r>
        <w:rPr>
          <w:rFonts w:hint="eastAsia" w:ascii="仿宋_GB2312" w:hAnsi="仿宋_GB2312" w:eastAsia="仿宋_GB2312" w:cs="仿宋_GB2312"/>
          <w:sz w:val="32"/>
        </w:rPr>
        <w:t>晋级比例原则上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不超过初赛项目总数的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0%，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晋级决</w:t>
      </w:r>
      <w:r>
        <w:rPr>
          <w:rFonts w:hint="eastAsia" w:ascii="仿宋_GB2312" w:hAnsi="仿宋_GB2312" w:eastAsia="仿宋_GB2312" w:cs="仿宋_GB2312"/>
          <w:sz w:val="32"/>
          <w:szCs w:val="32"/>
        </w:rPr>
        <w:t>赛名单赛后向社会公示。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4.决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赛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市科技局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负责组织，按组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委会的要求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，采取线下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公开路演的方式进行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比赛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路演采取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7+5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”模式进行，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参赛企业陈述时间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7分钟，评委问答时间5分钟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评委由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、财务、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创投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、管理评委等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7名评委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组成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比赛得分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计算方式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为去掉1个最高分和1个最低分，取剩下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个评委的平均分为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最终得分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，精确到小数点后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2位。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如有企业主动放弃晋级省赛资格，市组委会可根据需要选择入围市决赛企业进行替补。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尽职调查。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比赛结束后，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组织专家对拟获奖项目进行尽职调查，并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对尽职调查报告内容和结果负责。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尽职调查主要是对参赛企业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和答辩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内容的真实性、规范性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进行审核确认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，对参赛企业是否诚信参赛进行严格审查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。尽职调查结论分合格和不合格两种。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合格项目推荐参加省赛。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公示推荐。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根据比赛成绩择优推荐，推荐名额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按有效参赛项目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除去“以投代评”和“卓越直通车”通道项目）的50%确定，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以省赛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委会核定的推荐比率为准，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比赛得分低于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分的项目不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推荐晋级。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经公示无异议后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统一行文上报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省科技厅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eastAsia="zh-CN"/>
        </w:rPr>
        <w:t>（二）奖项设置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优秀奖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决赛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成绩确定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，所有奖项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总名额原则上不超过初赛有效参赛项目总数的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等次奖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根据决赛成绩依次确定奖项，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小微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成长企业组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、现代石化小微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、现代石化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成长企业组各设一等奖1名、二等奖2名和三等奖3名。获一、二、三等奖者不再授予大赛优秀奖。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奖项设置可根据参赛报名情况酌情调整。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4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优秀组织奖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选对象为大赛各类组织单位，重点表彰一批县市区科技行政主管部门和协助办赛单位，奖励比例原则上不超过各类组织单位总数的50%。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eastAsia="zh-CN"/>
        </w:rPr>
        <w:t>（三）支持政策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项目支持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获奖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计划立项管理有关规定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并完成省半决赛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给予创新创业大赛专题计划立项支持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待赛事完成后，根据相关证明材料予以补助支持。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）人才支持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获得市赛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一、二、三等奖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创办者或实际控制人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科技创新人才储备库，申报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科技创新人才计划时，在同等条件下优先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eastAsia="zh-CN"/>
        </w:rPr>
        <w:t>）双创服务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54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1.投资和贷款推荐。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参赛企业择优推荐给大赛合作创投机构和金融机构，符合条件的项目可获得创投资金或贷款支持。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3360"/>
          <w:tab w:val="left" w:pos="5960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2.入驻服务。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参赛企业符合大赛合作孵化器或众创空间入驻条件的，可享一站式入驻服务。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3.创业者成长计划服务。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组织各项配套活动，为参赛企业提供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融资路演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产业沙龙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展览展示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公益大讲堂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、市场与技术对接等多元化服务。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（4）宣传推介。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优秀企业可获得大赛合作媒体的专题报道和推介。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 xml:space="preserve"> 六、其他晋级通道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以投代评。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0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为进一步引导投资机构参与赛事，强化大赛“投资视野”，实施“以投代评”与“以赛代评”同步晋级</w:t>
      </w:r>
      <w:r>
        <w:rPr>
          <w:rStyle w:val="10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Style w:val="10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Style w:val="10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Style w:val="10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lang w:eastAsia="zh-CN"/>
        </w:rPr>
        <w:t>晋级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</w:rPr>
        <w:t>条件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符合大赛报名条件，且企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年1月1日（含）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日（含）期间获得股权投资（具体时间以工商股权变更登记日期为准）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小微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组企业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投资100万元以上（含），成长组企业获得投资500万元以上（含）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具体金额以实际到账投资额为准。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私募基金管理人（基金产品）需在中国证券投资基金业协会完成登记（备案）。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Style w:val="10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Style w:val="10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Style w:val="10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）晋级方式。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符合条件的企业将工商变更登记凭证、股权投资协议书、银行收款回执单、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私募基金管理人（基金产品）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备案文件等证明材料在报名时通过“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科管系统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。市科技局初审合格后，可直接推荐晋级省半决赛，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  <w:t>其名额单列，不受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val="en-US" w:eastAsia="zh-CN"/>
        </w:rPr>
        <w:t>50%推荐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  <w:t>名额限制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2.卓越直通车。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beforeAutospacing="0" w:afterAutospacing="0" w:line="554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0"/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Style w:val="10"/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为进一步吸引优秀企业参赛，提高项目征集质量，实施“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卓越直通车</w:t>
      </w:r>
      <w:r>
        <w:rPr>
          <w:rStyle w:val="10"/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”与“以赛代评”同步晋级通道。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" w:eastAsia="zh-CN"/>
        </w:rPr>
        <w:t>）晋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  <w:t>条件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符合大赛报名条件，且同时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eastAsia="zh-CN"/>
        </w:rPr>
        <w:t>符合以下任一条件：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国家技术创新示范企业；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国家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制造业单项冠军示范企业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国家级专精特新“小巨人”企业；国家工程技术研究中心、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国家技术创新中心、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国家临床医学研究中心、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重点实验室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国家工程研究中心、国家企业技术中心、国家制造业创新中心、国家级工业设计中心（研究院）、国家国防科技重点实验室、国家国防科技工业创新中心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依托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企业；荣获国家科学技术奖励（排名前五）或省科学技术奖励（二等奖及以上、排名前三）企业；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省“三尖”人才、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岳阳市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高层次人才（A类、B类和C类）入选者创办的企业（入选人才为企业法定代表人或第一大股东，以工商部门登记数据为准）。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" w:eastAsia="zh-CN"/>
        </w:rPr>
        <w:t>）晋级方式。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符合条件的企业将立项（或认定、奖励）等证明材料在报名时通过“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科管系统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。市科技局初审合格后，可直接推荐晋级省半决赛，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  <w:t>其名额单列，不受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val="en-US" w:eastAsia="zh-CN"/>
        </w:rPr>
        <w:t>50%推荐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lang w:eastAsia="zh-CN"/>
        </w:rPr>
        <w:t>名额限制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894"/>
        </w:tabs>
        <w:bidi w:val="0"/>
        <w:jc w:val="left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aperSrc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E1B91"/>
    <w:rsid w:val="00047174"/>
    <w:rsid w:val="003437F2"/>
    <w:rsid w:val="003F694E"/>
    <w:rsid w:val="00411B86"/>
    <w:rsid w:val="00A94C5E"/>
    <w:rsid w:val="00B7277B"/>
    <w:rsid w:val="00D22DF6"/>
    <w:rsid w:val="00FF4677"/>
    <w:rsid w:val="04732501"/>
    <w:rsid w:val="070F1EC1"/>
    <w:rsid w:val="185C15BE"/>
    <w:rsid w:val="2B921719"/>
    <w:rsid w:val="2DEC708C"/>
    <w:rsid w:val="2FDE9C9D"/>
    <w:rsid w:val="3C743895"/>
    <w:rsid w:val="3FFFC4B1"/>
    <w:rsid w:val="45F6182F"/>
    <w:rsid w:val="4CE26147"/>
    <w:rsid w:val="53510639"/>
    <w:rsid w:val="566F1242"/>
    <w:rsid w:val="588E1B91"/>
    <w:rsid w:val="5BB779D6"/>
    <w:rsid w:val="5FBB609F"/>
    <w:rsid w:val="5FEF1448"/>
    <w:rsid w:val="664A4F8C"/>
    <w:rsid w:val="6BDD0E3F"/>
    <w:rsid w:val="6BFB5751"/>
    <w:rsid w:val="6DB5AA74"/>
    <w:rsid w:val="6F6E8892"/>
    <w:rsid w:val="6FFA4FD5"/>
    <w:rsid w:val="729D277E"/>
    <w:rsid w:val="77F1079B"/>
    <w:rsid w:val="77FB82BB"/>
    <w:rsid w:val="7D0C6955"/>
    <w:rsid w:val="7DFB7E0C"/>
    <w:rsid w:val="7E9F6B13"/>
    <w:rsid w:val="7FEE5752"/>
    <w:rsid w:val="7FEF910C"/>
    <w:rsid w:val="AFFFE008"/>
    <w:rsid w:val="B9C2A431"/>
    <w:rsid w:val="BFD704AD"/>
    <w:rsid w:val="BFF4C62A"/>
    <w:rsid w:val="CBBF2B74"/>
    <w:rsid w:val="CDD2B58B"/>
    <w:rsid w:val="DBDD1DAD"/>
    <w:rsid w:val="DE495A02"/>
    <w:rsid w:val="DE72CA1E"/>
    <w:rsid w:val="DFF9079A"/>
    <w:rsid w:val="E6EF7363"/>
    <w:rsid w:val="E7DDB5A0"/>
    <w:rsid w:val="E9CE0053"/>
    <w:rsid w:val="EE8EA3C8"/>
    <w:rsid w:val="EF57C009"/>
    <w:rsid w:val="EFAFB2DA"/>
    <w:rsid w:val="EFEF17A3"/>
    <w:rsid w:val="EFFD2550"/>
    <w:rsid w:val="F7FA09B0"/>
    <w:rsid w:val="F9B57EC3"/>
    <w:rsid w:val="FAFB997B"/>
    <w:rsid w:val="FB337C41"/>
    <w:rsid w:val="FB6F2D34"/>
    <w:rsid w:val="FE9D1C8A"/>
    <w:rsid w:val="FEFD5AF5"/>
    <w:rsid w:val="FF73FD7A"/>
    <w:rsid w:val="FF891104"/>
    <w:rsid w:val="FFD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hAnsi="Calibri" w:eastAsia="黑体" w:cs="Times New Roman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character" w:customStyle="1" w:styleId="13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6">
    <w:name w:val="Endnote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86</TotalTime>
  <ScaleCrop>false</ScaleCrop>
  <LinksUpToDate>false</LinksUpToDate>
  <CharactersWithSpaces>426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2019-08-14T03:53:00Z</dcterms:created>
  <dc:creator> DHYS</dc:creator>
  <cp:lastModifiedBy>xjkp</cp:lastModifiedBy>
  <cp:lastPrinted>2023-05-08T16:44:00Z</cp:lastPrinted>
  <dcterms:modified xsi:type="dcterms:W3CDTF">2023-05-11T10:45:02Z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D1F88F695D7C41B681ABC5D0121D8AC4</vt:lpwstr>
  </property>
</Properties>
</file>