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afterLines="50"/>
        <w:ind w:left="1980" w:hanging="1980" w:hangingChars="45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众创空间拟变更重大事项</w:t>
      </w:r>
      <w:bookmarkEnd w:id="0"/>
    </w:p>
    <w:tbl>
      <w:tblPr>
        <w:tblStyle w:val="3"/>
        <w:tblW w:w="513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424"/>
        <w:gridCol w:w="1349"/>
        <w:gridCol w:w="1773"/>
        <w:gridCol w:w="2636"/>
        <w:gridCol w:w="8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tblHeader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众创空间名称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运营主体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变更事项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变更内容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  <w:t>生物医药众创空间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  <w:t>浏阳经济技术开发区产业化服务中心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运营主体变更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运营主体变更为“浏阳汇远实业有限公司”。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  <w:t>企业广场·众创新城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" w:eastAsia="zh-CN" w:bidi="ar-SA"/>
              </w:rPr>
              <w:t>湖南汇智科技孵化器有限公司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孵化场地面积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范围减少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变更后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孵化场地面积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866.38平方米。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湖南江湖名城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众创空间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湖南江湖名城众创空间管理有限公司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运营主体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变更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运营主体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工商变更为“湖南汇创孵化器管理有限公司”。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国家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  <w:t>娄底高新区金翅众创空间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  <w:t>涟源市金翅创业服务有限公司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运营主体变更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孵化场地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位置变更；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3.孵化场地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面积范围减少。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1.运营主体变更为“涟源市金凯农业科技发展有限公司”；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2.孵化场地位置变更为“娄底市涟源市娄底高新技术企业孵化园1栋2楼；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变更后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孵化场地面积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698平方米。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省级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  <w:t>娄底市中小企业众创空间孵化基地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  <w:t>娄底市永祥中小企业服务有限公司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1.众创空间名称变更；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2.孵化场地面积范围减少。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1.众创空间名称变更为“一帆众创空间”；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变更后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孵化场地面积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1680平方米。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省级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  <w:t>新化高新新印云创众创空间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  <w:t>新化经济开发区投资开发有限责任公司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运营主体变更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孵化场地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位置；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3.孵化场地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面积范围减少。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1.运营主体变更为“湖南中新创业空间服务有限公司”；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2.孵化场地位置变更为“娄底市新化高新区向红工业园综合大楼二楼；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变更后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孵化场地面积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628平方米。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省级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FB975"/>
    <w:rsid w:val="1F5FB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2023-05-18T16:45:00Z</dcterms:created>
  <dc:creator>greatwall</dc:creator>
  <cp:lastModifiedBy>greatwall</cp:lastModifiedBy>
  <dcterms:modified xsi:type="dcterms:W3CDTF">2023-05-18T16:45:30Z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