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方正小标宋简体" w:hAnsi="方正小标宋简体" w:eastAsia="方正小标宋简体" w:cs="方正小标宋简体"/>
          <w:b w:val="0"/>
          <w:bCs/>
          <w:color w:val="000000"/>
          <w:kern w:val="2"/>
          <w:sz w:val="30"/>
          <w:szCs w:val="30"/>
          <w:lang w:val="en-US" w:eastAsia="zh-CN" w:bidi="ar-SA"/>
        </w:rPr>
      </w:pPr>
      <w:r>
        <w:rPr>
          <w:rFonts w:hint="eastAsia" w:ascii="方正小标宋简体" w:hAnsi="方正小标宋简体" w:eastAsia="方正小标宋简体" w:cs="方正小标宋简体"/>
          <w:b w:val="0"/>
          <w:bCs/>
          <w:color w:val="000000"/>
          <w:kern w:val="2"/>
          <w:sz w:val="30"/>
          <w:szCs w:val="30"/>
          <w:lang w:val="en-US" w:eastAsia="zh-CN" w:bidi="ar-SA"/>
        </w:rPr>
        <w:t>附件5</w:t>
      </w:r>
    </w:p>
    <w:p>
      <w:pPr>
        <w:keepNext/>
        <w:keepLines/>
        <w:pageBreakBefore w:val="0"/>
        <w:widowControl w:val="0"/>
        <w:kinsoku/>
        <w:wordWrap/>
        <w:overflowPunct/>
        <w:topLinePunct w:val="0"/>
        <w:autoSpaceDE/>
        <w:autoSpaceDN/>
        <w:bidi w:val="0"/>
        <w:adjustRightInd/>
        <w:snapToGrid/>
        <w:spacing w:before="120" w:beforeLines="0" w:beforeAutospacing="0" w:after="120" w:afterLines="0" w:afterAutospacing="0" w:line="360" w:lineRule="auto"/>
        <w:jc w:val="center"/>
        <w:textAlignment w:val="auto"/>
        <w:outlineLvl w:val="0"/>
        <w:rPr>
          <w:rFonts w:hint="default" w:ascii="Times New Roman" w:hAnsi="Times New Roman" w:eastAsia="宋体" w:cs="Times New Roman"/>
          <w:b/>
          <w:kern w:val="44"/>
          <w:sz w:val="44"/>
          <w:szCs w:val="24"/>
          <w:lang w:val="en-US" w:eastAsia="zh-CN" w:bidi="ar-SA"/>
        </w:rPr>
      </w:pPr>
      <w:bookmarkStart w:id="0" w:name="_GoBack"/>
      <w:r>
        <w:rPr>
          <w:rFonts w:hint="eastAsia" w:ascii="Times New Roman" w:hAnsi="Times New Roman" w:eastAsia="宋体" w:cs="Times New Roman"/>
          <w:b/>
          <w:kern w:val="44"/>
          <w:sz w:val="44"/>
          <w:szCs w:val="24"/>
          <w:lang w:val="en-US" w:eastAsia="zh-CN" w:bidi="ar-SA"/>
        </w:rPr>
        <w:t>国家标准项目申报说明填写内容提纲</w:t>
      </w:r>
      <w:bookmarkEnd w:id="0"/>
    </w:p>
    <w:p>
      <w:pPr>
        <w:numPr>
          <w:ilvl w:val="0"/>
          <w:numId w:val="1"/>
        </w:numPr>
        <w:ind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本标准与科技评估</w:t>
      </w:r>
      <w:r>
        <w:rPr>
          <w:rFonts w:hint="eastAsia" w:ascii="仿宋_GB2312" w:hAnsi="仿宋_GB2312" w:eastAsia="仿宋_GB2312" w:cs="仿宋_GB2312"/>
          <w:b/>
          <w:bCs/>
          <w:sz w:val="30"/>
          <w:szCs w:val="30"/>
          <w:lang w:eastAsia="zh-CN"/>
        </w:rPr>
        <w:t>国家</w:t>
      </w:r>
      <w:r>
        <w:rPr>
          <w:rFonts w:hint="eastAsia" w:ascii="仿宋_GB2312" w:hAnsi="仿宋_GB2312" w:eastAsia="仿宋_GB2312" w:cs="仿宋_GB2312"/>
          <w:b/>
          <w:bCs/>
          <w:sz w:val="30"/>
          <w:szCs w:val="30"/>
        </w:rPr>
        <w:t>标准体系的对应关系</w:t>
      </w:r>
    </w:p>
    <w:p>
      <w:pPr>
        <w:numPr>
          <w:ilvl w:val="0"/>
          <w:numId w:val="0"/>
        </w:numPr>
        <w:rPr>
          <w:rFonts w:hint="eastAsia" w:ascii="仿宋_GB2312" w:hAnsi="仿宋_GB2312" w:eastAsia="仿宋_GB2312" w:cs="仿宋_GB2312"/>
          <w:sz w:val="30"/>
          <w:szCs w:val="30"/>
        </w:rPr>
      </w:pPr>
    </w:p>
    <w:p>
      <w:pPr>
        <w:numPr>
          <w:ilvl w:val="0"/>
          <w:numId w:val="0"/>
        </w:numPr>
        <w:rPr>
          <w:rFonts w:hint="eastAsia" w:ascii="仿宋_GB2312" w:hAnsi="仿宋_GB2312" w:eastAsia="仿宋_GB2312" w:cs="仿宋_GB2312"/>
          <w:sz w:val="30"/>
          <w:szCs w:val="30"/>
        </w:rPr>
      </w:pPr>
    </w:p>
    <w:p>
      <w:pPr>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二、本标准与国内外已发布和在研</w:t>
      </w:r>
      <w:r>
        <w:rPr>
          <w:rFonts w:hint="eastAsia" w:ascii="仿宋_GB2312" w:hAnsi="仿宋_GB2312" w:eastAsia="仿宋_GB2312" w:cs="仿宋_GB2312"/>
          <w:b/>
          <w:bCs/>
          <w:sz w:val="30"/>
          <w:szCs w:val="30"/>
          <w:lang w:eastAsia="zh-CN"/>
        </w:rPr>
        <w:t>相关</w:t>
      </w:r>
      <w:r>
        <w:rPr>
          <w:rFonts w:hint="eastAsia" w:ascii="仿宋_GB2312" w:hAnsi="仿宋_GB2312" w:eastAsia="仿宋_GB2312" w:cs="仿宋_GB2312"/>
          <w:b/>
          <w:bCs/>
          <w:sz w:val="30"/>
          <w:szCs w:val="30"/>
        </w:rPr>
        <w:t>标准的关系</w:t>
      </w:r>
    </w:p>
    <w:p>
      <w:pPr>
        <w:ind w:firstLine="480" w:firstLineChars="200"/>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包括：国</w:t>
      </w:r>
      <w:r>
        <w:rPr>
          <w:rFonts w:hint="eastAsia" w:ascii="仿宋_GB2312" w:hAnsi="仿宋_GB2312" w:eastAsia="仿宋_GB2312" w:cs="仿宋_GB2312"/>
          <w:color w:val="000000" w:themeColor="text1"/>
          <w:sz w:val="24"/>
          <w:szCs w:val="24"/>
          <w:lang w:eastAsia="zh-CN"/>
          <w14:textFill>
            <w14:solidFill>
              <w14:schemeClr w14:val="tx1"/>
            </w14:solidFill>
          </w14:textFill>
        </w:rPr>
        <w:t>家标准</w:t>
      </w:r>
      <w:r>
        <w:rPr>
          <w:rFonts w:hint="eastAsia" w:ascii="仿宋_GB2312" w:hAnsi="仿宋_GB2312" w:eastAsia="仿宋_GB2312" w:cs="仿宋_GB2312"/>
          <w:color w:val="000000" w:themeColor="text1"/>
          <w:sz w:val="24"/>
          <w:szCs w:val="24"/>
          <w14:textFill>
            <w14:solidFill>
              <w14:schemeClr w14:val="tx1"/>
            </w14:solidFill>
          </w14:textFill>
        </w:rPr>
        <w:t>、行</w:t>
      </w:r>
      <w:r>
        <w:rPr>
          <w:rFonts w:hint="eastAsia" w:ascii="仿宋_GB2312" w:hAnsi="仿宋_GB2312" w:eastAsia="仿宋_GB2312" w:cs="仿宋_GB2312"/>
          <w:color w:val="000000" w:themeColor="text1"/>
          <w:sz w:val="24"/>
          <w:szCs w:val="24"/>
          <w:lang w:eastAsia="zh-CN"/>
          <w14:textFill>
            <w14:solidFill>
              <w14:schemeClr w14:val="tx1"/>
            </w14:solidFill>
          </w14:textFill>
        </w:rPr>
        <w:t>业标准</w:t>
      </w:r>
      <w:r>
        <w:rPr>
          <w:rFonts w:hint="eastAsia" w:ascii="仿宋_GB2312" w:hAnsi="仿宋_GB2312" w:eastAsia="仿宋_GB2312" w:cs="仿宋_GB2312"/>
          <w:color w:val="000000" w:themeColor="text1"/>
          <w:sz w:val="24"/>
          <w:szCs w:val="24"/>
          <w14:textFill>
            <w14:solidFill>
              <w14:schemeClr w14:val="tx1"/>
            </w14:solidFill>
          </w14:textFill>
        </w:rPr>
        <w:t>、地</w:t>
      </w:r>
      <w:r>
        <w:rPr>
          <w:rFonts w:hint="eastAsia" w:ascii="仿宋_GB2312" w:hAnsi="仿宋_GB2312" w:eastAsia="仿宋_GB2312" w:cs="仿宋_GB2312"/>
          <w:color w:val="000000" w:themeColor="text1"/>
          <w:sz w:val="24"/>
          <w:szCs w:val="24"/>
          <w:lang w:eastAsia="zh-CN"/>
          <w14:textFill>
            <w14:solidFill>
              <w14:schemeClr w14:val="tx1"/>
            </w14:solidFill>
          </w14:textFill>
        </w:rPr>
        <w:t>方标准</w:t>
      </w:r>
      <w:r>
        <w:rPr>
          <w:rFonts w:hint="eastAsia" w:ascii="仿宋_GB2312" w:hAnsi="仿宋_GB2312" w:eastAsia="仿宋_GB2312" w:cs="仿宋_GB2312"/>
          <w:color w:val="000000" w:themeColor="text1"/>
          <w:sz w:val="24"/>
          <w:szCs w:val="24"/>
          <w14:textFill>
            <w14:solidFill>
              <w14:schemeClr w14:val="tx1"/>
            </w14:solidFill>
          </w14:textFill>
        </w:rPr>
        <w:t>、团</w:t>
      </w:r>
      <w:r>
        <w:rPr>
          <w:rFonts w:hint="eastAsia" w:ascii="仿宋_GB2312" w:hAnsi="仿宋_GB2312" w:eastAsia="仿宋_GB2312" w:cs="仿宋_GB2312"/>
          <w:color w:val="000000" w:themeColor="text1"/>
          <w:sz w:val="24"/>
          <w:szCs w:val="24"/>
          <w:lang w:eastAsia="zh-CN"/>
          <w14:textFill>
            <w14:solidFill>
              <w14:schemeClr w14:val="tx1"/>
            </w14:solidFill>
          </w14:textFill>
        </w:rPr>
        <w:t>体标准</w:t>
      </w:r>
      <w:r>
        <w:rPr>
          <w:rFonts w:hint="eastAsia" w:ascii="仿宋_GB2312" w:hAnsi="仿宋_GB2312" w:eastAsia="仿宋_GB2312" w:cs="仿宋_GB2312"/>
          <w:color w:val="000000" w:themeColor="text1"/>
          <w:sz w:val="24"/>
          <w:szCs w:val="24"/>
          <w14:textFill>
            <w14:solidFill>
              <w14:schemeClr w14:val="tx1"/>
            </w14:solidFill>
          </w14:textFill>
        </w:rPr>
        <w:t>、企</w:t>
      </w:r>
      <w:r>
        <w:rPr>
          <w:rFonts w:hint="eastAsia" w:ascii="仿宋_GB2312" w:hAnsi="仿宋_GB2312" w:eastAsia="仿宋_GB2312" w:cs="仿宋_GB2312"/>
          <w:color w:val="000000" w:themeColor="text1"/>
          <w:sz w:val="24"/>
          <w:szCs w:val="24"/>
          <w:lang w:eastAsia="zh-CN"/>
          <w14:textFill>
            <w14:solidFill>
              <w14:schemeClr w14:val="tx1"/>
            </w14:solidFill>
          </w14:textFill>
        </w:rPr>
        <w:t>业标准</w:t>
      </w:r>
      <w:r>
        <w:rPr>
          <w:rFonts w:hint="eastAsia" w:ascii="仿宋_GB2312" w:hAnsi="仿宋_GB2312" w:eastAsia="仿宋_GB2312" w:cs="仿宋_GB2312"/>
          <w:color w:val="000000" w:themeColor="text1"/>
          <w:sz w:val="24"/>
          <w:szCs w:val="24"/>
          <w14:textFill>
            <w14:solidFill>
              <w14:schemeClr w14:val="tx1"/>
            </w14:solidFill>
          </w14:textFill>
        </w:rPr>
        <w:t>等五类标准（重点是国标和行标）和国际标准。凡是与本标准有关联的，均需说明标准之间的区别与联系</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如涉及知识产权问题，应提供相关证明材料</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pPr>
        <w:ind w:firstLine="600" w:firstLineChars="200"/>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rPr>
      </w:pPr>
    </w:p>
    <w:p>
      <w:pPr>
        <w:ind w:firstLine="602" w:firstLineChars="200"/>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三、</w:t>
      </w:r>
      <w:r>
        <w:rPr>
          <w:rFonts w:hint="eastAsia" w:ascii="仿宋_GB2312" w:hAnsi="仿宋_GB2312" w:eastAsia="仿宋_GB2312" w:cs="仿宋_GB2312"/>
          <w:b/>
          <w:bCs/>
          <w:sz w:val="30"/>
          <w:szCs w:val="30"/>
        </w:rPr>
        <w:t>项目进度安排</w:t>
      </w:r>
    </w:p>
    <w:p>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标准进度一般按照标准制修订程序的各个阶段进行，应制定详细的工作计划，根据制修订周期细化组织起草、征求意见、技术审查等各阶段具体时间安排。</w:t>
      </w:r>
    </w:p>
    <w:p>
      <w:pPr>
        <w:ind w:firstLine="600" w:firstLineChars="200"/>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rPr>
      </w:pPr>
    </w:p>
    <w:p>
      <w:pPr>
        <w:ind w:firstLine="602" w:firstLineChars="200"/>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四</w:t>
      </w:r>
      <w:r>
        <w:rPr>
          <w:rFonts w:hint="eastAsia" w:ascii="仿宋_GB2312" w:hAnsi="仿宋_GB2312" w:eastAsia="仿宋_GB2312" w:cs="仿宋_GB2312"/>
          <w:b/>
          <w:bCs/>
          <w:sz w:val="30"/>
          <w:szCs w:val="30"/>
        </w:rPr>
        <w:t>、工作基础</w:t>
      </w:r>
    </w:p>
    <w:p>
      <w:pPr>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主要介绍</w:t>
      </w:r>
      <w:r>
        <w:rPr>
          <w:rFonts w:hint="eastAsia" w:ascii="仿宋_GB2312" w:hAnsi="仿宋_GB2312" w:eastAsia="仿宋_GB2312" w:cs="仿宋_GB2312"/>
          <w:color w:val="000000" w:themeColor="text1"/>
          <w:sz w:val="24"/>
          <w:szCs w:val="24"/>
          <w:lang w:eastAsia="zh-CN"/>
          <w14:textFill>
            <w14:solidFill>
              <w14:schemeClr w14:val="tx1"/>
            </w14:solidFill>
          </w14:textFill>
        </w:rPr>
        <w:t>标准起草</w:t>
      </w:r>
      <w:r>
        <w:rPr>
          <w:rFonts w:hint="eastAsia" w:ascii="仿宋_GB2312" w:hAnsi="仿宋_GB2312" w:eastAsia="仿宋_GB2312" w:cs="仿宋_GB2312"/>
          <w:color w:val="000000" w:themeColor="text1"/>
          <w:sz w:val="24"/>
          <w:szCs w:val="24"/>
          <w14:textFill>
            <w14:solidFill>
              <w14:schemeClr w14:val="tx1"/>
            </w14:solidFill>
          </w14:textFill>
        </w:rPr>
        <w:t>单位</w:t>
      </w:r>
      <w:r>
        <w:rPr>
          <w:rFonts w:hint="eastAsia" w:ascii="仿宋_GB2312" w:hAnsi="仿宋_GB2312" w:eastAsia="仿宋_GB2312" w:cs="仿宋_GB2312"/>
          <w:color w:val="000000" w:themeColor="text1"/>
          <w:sz w:val="24"/>
          <w:szCs w:val="24"/>
          <w:lang w:eastAsia="zh-CN"/>
          <w14:textFill>
            <w14:solidFill>
              <w14:schemeClr w14:val="tx1"/>
            </w14:solidFill>
          </w14:textFill>
        </w:rPr>
        <w:t>和起草人员</w:t>
      </w:r>
      <w:r>
        <w:rPr>
          <w:rFonts w:hint="eastAsia" w:ascii="仿宋_GB2312" w:hAnsi="仿宋_GB2312" w:eastAsia="仿宋_GB2312" w:cs="仿宋_GB2312"/>
          <w:color w:val="000000" w:themeColor="text1"/>
          <w:sz w:val="24"/>
          <w:szCs w:val="24"/>
          <w14:textFill>
            <w14:solidFill>
              <w14:schemeClr w14:val="tx1"/>
            </w14:solidFill>
          </w14:textFill>
        </w:rPr>
        <w:t>在科技评估和标准化方面的工作基础，以及本项目的工作基础。</w:t>
      </w:r>
    </w:p>
    <w:p>
      <w:pPr>
        <w:pStyle w:val="7"/>
        <w:rPr>
          <w:rFonts w:hint="eastAsia"/>
        </w:rPr>
      </w:pPr>
    </w:p>
    <w:p>
      <w:pPr>
        <w:ind w:firstLine="600" w:firstLineChars="200"/>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rPr>
      </w:pPr>
    </w:p>
    <w:p>
      <w:pPr>
        <w:pStyle w:val="7"/>
        <w:rPr>
          <w:rFonts w:hint="eastAsia"/>
        </w:rPr>
      </w:pPr>
    </w:p>
    <w:p>
      <w:pPr>
        <w:numPr>
          <w:ilvl w:val="0"/>
          <w:numId w:val="0"/>
        </w:numPr>
        <w:ind w:firstLine="602" w:firstLineChars="2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 xml:space="preserve">五、是否同步制定国际标准：  </w:t>
      </w:r>
      <w:r>
        <w:rPr>
          <w:rFonts w:hint="eastAsia" w:ascii="仿宋_GB2312" w:hAnsi="仿宋_GB2312" w:eastAsia="仿宋_GB2312" w:cs="仿宋_GB2312"/>
          <w:b/>
          <w:bCs/>
          <w:sz w:val="30"/>
          <w:szCs w:val="30"/>
          <w:lang w:val="en-US" w:eastAsia="zh-CN"/>
        </w:rPr>
        <w:sym w:font="Wingdings" w:char="00A8"/>
      </w:r>
      <w:r>
        <w:rPr>
          <w:rFonts w:hint="eastAsia" w:ascii="仿宋_GB2312" w:hAnsi="仿宋_GB2312" w:eastAsia="仿宋_GB2312" w:cs="仿宋_GB2312"/>
          <w:b/>
          <w:bCs/>
          <w:sz w:val="30"/>
          <w:szCs w:val="30"/>
          <w:lang w:val="en-US" w:eastAsia="zh-CN"/>
        </w:rPr>
        <w:t xml:space="preserve">是  </w:t>
      </w:r>
      <w:r>
        <w:rPr>
          <w:rFonts w:hint="eastAsia" w:ascii="仿宋_GB2312" w:hAnsi="仿宋_GB2312" w:eastAsia="仿宋_GB2312" w:cs="仿宋_GB2312"/>
          <w:b/>
          <w:bCs/>
          <w:sz w:val="30"/>
          <w:szCs w:val="30"/>
          <w:lang w:val="en-US" w:eastAsia="zh-CN"/>
        </w:rPr>
        <w:sym w:font="Wingdings" w:char="00A8"/>
      </w:r>
      <w:r>
        <w:rPr>
          <w:rFonts w:hint="eastAsia" w:ascii="仿宋_GB2312" w:hAnsi="仿宋_GB2312" w:eastAsia="仿宋_GB2312" w:cs="仿宋_GB2312"/>
          <w:b/>
          <w:bCs/>
          <w:sz w:val="30"/>
          <w:szCs w:val="30"/>
          <w:lang w:val="en-US" w:eastAsia="zh-CN"/>
        </w:rPr>
        <w:t>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852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000000" w:themeColor="text1"/>
                <w:sz w:val="30"/>
                <w:szCs w:val="30"/>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vertAlign w:val="baseline"/>
                <w:lang w:val="en-US" w:eastAsia="zh-CN"/>
                <w14:textFill>
                  <w14:solidFill>
                    <w14:schemeClr w14:val="tx1"/>
                  </w14:solidFill>
                </w14:textFill>
              </w:rPr>
              <w:t>如选是，请填写以下国际标准制定进展信息：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sym w:font="Wingdings" w:char="00A8"/>
            </w:r>
            <w:r>
              <w:rPr>
                <w:rFonts w:hint="eastAsia" w:ascii="仿宋_GB2312" w:hAnsi="仿宋_GB2312" w:eastAsia="仿宋_GB2312" w:cs="仿宋_GB2312"/>
                <w:sz w:val="30"/>
                <w:szCs w:val="30"/>
                <w:vertAlign w:val="baseline"/>
                <w:lang w:val="en-US" w:eastAsia="zh-CN"/>
              </w:rPr>
              <w:t xml:space="preserve"> 国际标准已立项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sym w:font="Wingdings" w:char="00A8"/>
            </w:r>
            <w:r>
              <w:rPr>
                <w:rFonts w:hint="eastAsia" w:ascii="仿宋_GB2312" w:hAnsi="仿宋_GB2312" w:eastAsia="仿宋_GB2312" w:cs="仿宋_GB2312"/>
                <w:sz w:val="30"/>
                <w:szCs w:val="30"/>
                <w:vertAlign w:val="baseline"/>
                <w:lang w:val="en-US" w:eastAsia="zh-CN"/>
              </w:rPr>
              <w:t xml:space="preserve"> 国际标准已提案未立项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sym w:font="Wingdings" w:char="00A8"/>
            </w:r>
            <w:r>
              <w:rPr>
                <w:rFonts w:hint="eastAsia" w:ascii="仿宋_GB2312" w:hAnsi="仿宋_GB2312" w:eastAsia="仿宋_GB2312" w:cs="仿宋_GB2312"/>
                <w:sz w:val="30"/>
                <w:szCs w:val="30"/>
                <w:vertAlign w:val="baseline"/>
                <w:lang w:val="en-US" w:eastAsia="zh-CN"/>
              </w:rPr>
              <w:t xml:space="preserve"> 国际标准准备提案</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ind w:firstLine="602" w:firstLineChars="200"/>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 xml:space="preserve">六、是否同步制定外文版：  </w:t>
      </w:r>
      <w:r>
        <w:rPr>
          <w:rFonts w:hint="eastAsia" w:ascii="仿宋_GB2312" w:hAnsi="仿宋_GB2312" w:eastAsia="仿宋_GB2312" w:cs="仿宋_GB2312"/>
          <w:b/>
          <w:bCs/>
          <w:sz w:val="30"/>
          <w:szCs w:val="30"/>
          <w:lang w:val="en-US" w:eastAsia="zh-CN"/>
        </w:rPr>
        <w:sym w:font="Wingdings" w:char="00A8"/>
      </w:r>
      <w:r>
        <w:rPr>
          <w:rFonts w:hint="eastAsia" w:ascii="仿宋_GB2312" w:hAnsi="仿宋_GB2312" w:eastAsia="仿宋_GB2312" w:cs="仿宋_GB2312"/>
          <w:b/>
          <w:bCs/>
          <w:sz w:val="30"/>
          <w:szCs w:val="30"/>
          <w:lang w:val="en-US" w:eastAsia="zh-CN"/>
        </w:rPr>
        <w:t xml:space="preserve">是  </w:t>
      </w:r>
      <w:r>
        <w:rPr>
          <w:rFonts w:hint="eastAsia" w:ascii="仿宋_GB2312" w:hAnsi="仿宋_GB2312" w:eastAsia="仿宋_GB2312" w:cs="仿宋_GB2312"/>
          <w:b/>
          <w:bCs/>
          <w:sz w:val="30"/>
          <w:szCs w:val="30"/>
          <w:lang w:val="en-US" w:eastAsia="zh-CN"/>
        </w:rPr>
        <w:sym w:font="Wingdings" w:char="00A8"/>
      </w:r>
      <w:r>
        <w:rPr>
          <w:rFonts w:hint="eastAsia" w:ascii="仿宋_GB2312" w:hAnsi="仿宋_GB2312" w:eastAsia="仿宋_GB2312" w:cs="仿宋_GB2312"/>
          <w:b/>
          <w:bCs/>
          <w:sz w:val="30"/>
          <w:szCs w:val="30"/>
          <w:lang w:val="en-US" w:eastAsia="zh-CN"/>
        </w:rPr>
        <w:t>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trPr>
        <w:tc>
          <w:tcPr>
            <w:tcW w:w="8522" w:type="dxa"/>
            <w:noWrap w:val="0"/>
            <w:vAlign w:val="top"/>
          </w:tcPr>
          <w:p>
            <w:pPr>
              <w:numPr>
                <w:ilvl w:val="0"/>
                <w:numId w:val="0"/>
              </w:numPr>
              <w:rPr>
                <w:rFonts w:hint="default" w:ascii="仿宋_GB2312" w:hAnsi="仿宋_GB2312" w:eastAsia="仿宋_GB2312" w:cs="仿宋_GB2312"/>
                <w:color w:val="000000" w:themeColor="text1"/>
                <w:sz w:val="30"/>
                <w:szCs w:val="30"/>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vertAlign w:val="baseline"/>
                <w:lang w:val="en-US" w:eastAsia="zh-CN"/>
                <w14:textFill>
                  <w14:solidFill>
                    <w14:schemeClr w14:val="tx1"/>
                  </w14:solidFill>
                </w14:textFill>
              </w:rPr>
              <w:t>(如选是，请选择同步制定外文版的理由，包括：</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sym w:font="Wingdings" w:char="00A8"/>
            </w:r>
            <w:r>
              <w:rPr>
                <w:rFonts w:hint="eastAsia" w:ascii="仿宋_GB2312" w:hAnsi="仿宋_GB2312" w:eastAsia="仿宋_GB2312" w:cs="仿宋_GB2312"/>
                <w:sz w:val="30"/>
                <w:szCs w:val="30"/>
                <w:vertAlign w:val="baseline"/>
                <w:lang w:val="en-US" w:eastAsia="zh-CN"/>
              </w:rPr>
              <w:t xml:space="preserve"> 1.涉及对外贸易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sym w:font="Wingdings" w:char="00A8"/>
            </w:r>
            <w:r>
              <w:rPr>
                <w:rFonts w:hint="eastAsia" w:ascii="仿宋_GB2312" w:hAnsi="仿宋_GB2312" w:eastAsia="仿宋_GB2312" w:cs="仿宋_GB2312"/>
                <w:sz w:val="30"/>
                <w:szCs w:val="30"/>
                <w:vertAlign w:val="baseline"/>
                <w:lang w:val="en-US" w:eastAsia="zh-CN"/>
              </w:rPr>
              <w:t xml:space="preserve"> 2.对外承包工程（含一带一路走出去工程）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sym w:font="Wingdings" w:char="00A8"/>
            </w:r>
            <w:r>
              <w:rPr>
                <w:rFonts w:hint="eastAsia" w:ascii="仿宋_GB2312" w:hAnsi="仿宋_GB2312" w:eastAsia="仿宋_GB2312" w:cs="仿宋_GB2312"/>
                <w:sz w:val="30"/>
                <w:szCs w:val="30"/>
                <w:vertAlign w:val="baseline"/>
                <w:lang w:val="en-US" w:eastAsia="zh-CN"/>
              </w:rPr>
              <w:t xml:space="preserve"> 3.有利于科学技术交流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sym w:font="Wingdings" w:char="00A8"/>
            </w:r>
            <w:r>
              <w:rPr>
                <w:rFonts w:hint="eastAsia" w:ascii="仿宋_GB2312" w:hAnsi="仿宋_GB2312" w:eastAsia="仿宋_GB2312" w:cs="仿宋_GB2312"/>
                <w:sz w:val="30"/>
                <w:szCs w:val="30"/>
                <w:vertAlign w:val="baseline"/>
                <w:lang w:val="en-US" w:eastAsia="zh-CN"/>
              </w:rPr>
              <w:t xml:space="preserve"> 4.有助于提高中国标准的国际影响力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sym w:font="Wingdings" w:char="00A8"/>
            </w:r>
            <w:r>
              <w:rPr>
                <w:rFonts w:hint="eastAsia" w:ascii="仿宋_GB2312" w:hAnsi="仿宋_GB2312" w:eastAsia="仿宋_GB2312" w:cs="仿宋_GB2312"/>
                <w:sz w:val="30"/>
                <w:szCs w:val="30"/>
                <w:vertAlign w:val="baseline"/>
                <w:lang w:val="en-US" w:eastAsia="zh-CN"/>
              </w:rPr>
              <w:t xml:space="preserve"> 其它，请说明</w:t>
            </w:r>
            <w:r>
              <w:rPr>
                <w:rFonts w:hint="eastAsia" w:ascii="仿宋_GB2312" w:hAnsi="仿宋_GB2312" w:eastAsia="仿宋_GB2312" w:cs="仿宋_GB2312"/>
                <w:sz w:val="30"/>
                <w:szCs w:val="30"/>
                <w:u w:val="single"/>
                <w:vertAlign w:val="baseline"/>
                <w:lang w:val="en-US" w:eastAsia="zh-CN"/>
              </w:rPr>
              <w:t xml:space="preserve">                         </w:t>
            </w:r>
            <w:r>
              <w:rPr>
                <w:rFonts w:hint="eastAsia" w:ascii="仿宋_GB2312" w:hAnsi="仿宋_GB2312" w:eastAsia="仿宋_GB2312" w:cs="仿宋_GB2312"/>
                <w:sz w:val="30"/>
                <w:szCs w:val="30"/>
                <w:vertAlign w:val="baseline"/>
                <w:lang w:val="en-US" w:eastAsia="zh-CN"/>
              </w:rPr>
              <w:t>  </w:t>
            </w:r>
          </w:p>
          <w:p>
            <w:pPr>
              <w:numPr>
                <w:ilvl w:val="0"/>
                <w:numId w:val="0"/>
              </w:numPr>
              <w:rPr>
                <w:rFonts w:hint="eastAsia" w:ascii="仿宋_GB2312" w:hAnsi="仿宋_GB2312" w:eastAsia="仿宋_GB2312" w:cs="仿宋_GB2312"/>
                <w:color w:val="000000" w:themeColor="text1"/>
                <w:sz w:val="30"/>
                <w:szCs w:val="30"/>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vertAlign w:val="baseline"/>
                <w:lang w:val="en-US" w:eastAsia="zh-CN"/>
                <w14:textFill>
                  <w14:solidFill>
                    <w14:schemeClr w14:val="tx1"/>
                  </w14:solidFill>
                </w14:textFill>
              </w:rPr>
              <w:t>如选是，请填写以下外文版翻译信息：</w:t>
            </w:r>
          </w:p>
          <w:p>
            <w:pPr>
              <w:numPr>
                <w:ilvl w:val="0"/>
                <w:numId w:val="2"/>
              </w:numP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翻译语种：</w:t>
            </w:r>
            <w:r>
              <w:rPr>
                <w:rFonts w:hint="eastAsia" w:ascii="仿宋_GB2312" w:hAnsi="仿宋_GB2312" w:eastAsia="仿宋_GB2312" w:cs="仿宋_GB2312"/>
                <w:sz w:val="30"/>
                <w:szCs w:val="30"/>
                <w:u w:val="single"/>
                <w:vertAlign w:val="baseline"/>
                <w:lang w:val="en-US" w:eastAsia="zh-CN"/>
              </w:rPr>
              <w:t xml:space="preserve">                              </w:t>
            </w:r>
          </w:p>
          <w:p>
            <w:pPr>
              <w:numPr>
                <w:ilvl w:val="0"/>
                <w:numId w:val="2"/>
              </w:num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外文版名称：</w:t>
            </w:r>
            <w:r>
              <w:rPr>
                <w:rFonts w:hint="eastAsia" w:ascii="仿宋_GB2312" w:hAnsi="仿宋_GB2312" w:eastAsia="仿宋_GB2312" w:cs="仿宋_GB2312"/>
                <w:sz w:val="30"/>
                <w:szCs w:val="30"/>
                <w:u w:val="single"/>
                <w:vertAlign w:val="baseline"/>
                <w:lang w:val="en-US" w:eastAsia="zh-CN"/>
              </w:rPr>
              <w:t xml:space="preserve">                            </w:t>
            </w:r>
          </w:p>
          <w:p>
            <w:pPr>
              <w:numPr>
                <w:ilvl w:val="0"/>
                <w:numId w:val="2"/>
              </w:num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翻译承担单位：</w:t>
            </w:r>
            <w:r>
              <w:rPr>
                <w:rFonts w:hint="eastAsia" w:ascii="仿宋_GB2312" w:hAnsi="仿宋_GB2312" w:eastAsia="仿宋_GB2312" w:cs="仿宋_GB2312"/>
                <w:sz w:val="30"/>
                <w:szCs w:val="30"/>
                <w:u w:val="single"/>
                <w:vertAlign w:val="baseline"/>
                <w:lang w:val="en-US" w:eastAsia="zh-CN"/>
              </w:rPr>
              <w:t xml:space="preserve">                          </w:t>
            </w:r>
          </w:p>
          <w:p>
            <w:pPr>
              <w:numPr>
                <w:ilvl w:val="0"/>
                <w:numId w:val="2"/>
              </w:num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国内外需求情况：</w:t>
            </w:r>
            <w:r>
              <w:rPr>
                <w:rFonts w:hint="eastAsia" w:ascii="仿宋_GB2312" w:hAnsi="仿宋_GB2312" w:eastAsia="仿宋_GB2312" w:cs="仿宋_GB2312"/>
                <w:sz w:val="30"/>
                <w:szCs w:val="30"/>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8522" w:type="dxa"/>
            <w:noWrap w:val="0"/>
            <w:vAlign w:val="top"/>
          </w:tcPr>
          <w:p>
            <w:pPr>
              <w:numPr>
                <w:ilvl w:val="0"/>
                <w:numId w:val="0"/>
              </w:numP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000000" w:themeColor="text1"/>
                <w:sz w:val="30"/>
                <w:szCs w:val="30"/>
                <w:vertAlign w:val="baseline"/>
                <w:lang w:val="en-US" w:eastAsia="zh-CN"/>
                <w14:textFill>
                  <w14:solidFill>
                    <w14:schemeClr w14:val="tx1"/>
                  </w14:solidFill>
                </w14:textFill>
              </w:rPr>
              <w:t>(如选否，请填写不同步制定外文版的理由)：</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ind w:firstLine="602" w:firstLineChars="200"/>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 xml:space="preserve">七、是否属于军民通用的标准项目： </w:t>
      </w:r>
      <w:r>
        <w:rPr>
          <w:rFonts w:hint="eastAsia" w:ascii="仿宋_GB2312" w:hAnsi="仿宋_GB2312" w:eastAsia="仿宋_GB2312" w:cs="仿宋_GB2312"/>
          <w:b/>
          <w:bCs/>
          <w:sz w:val="30"/>
          <w:szCs w:val="30"/>
          <w:lang w:val="en-US" w:eastAsia="zh-CN"/>
        </w:rPr>
        <w:sym w:font="Wingdings" w:char="00A8"/>
      </w:r>
      <w:r>
        <w:rPr>
          <w:rFonts w:hint="eastAsia" w:ascii="仿宋_GB2312" w:hAnsi="仿宋_GB2312" w:eastAsia="仿宋_GB2312" w:cs="仿宋_GB2312"/>
          <w:b/>
          <w:bCs/>
          <w:sz w:val="30"/>
          <w:szCs w:val="30"/>
          <w:lang w:val="en-US" w:eastAsia="zh-CN"/>
        </w:rPr>
        <w:t xml:space="preserve">是  </w:t>
      </w:r>
      <w:r>
        <w:rPr>
          <w:rFonts w:hint="eastAsia" w:ascii="仿宋_GB2312" w:hAnsi="仿宋_GB2312" w:eastAsia="仿宋_GB2312" w:cs="仿宋_GB2312"/>
          <w:b/>
          <w:bCs/>
          <w:sz w:val="30"/>
          <w:szCs w:val="30"/>
          <w:lang w:val="en-US" w:eastAsia="zh-CN"/>
        </w:rPr>
        <w:sym w:font="Wingdings" w:char="00A8"/>
      </w:r>
      <w:r>
        <w:rPr>
          <w:rFonts w:hint="eastAsia" w:ascii="仿宋_GB2312" w:hAnsi="仿宋_GB2312" w:eastAsia="仿宋_GB2312" w:cs="仿宋_GB2312"/>
          <w:b/>
          <w:bCs/>
          <w:sz w:val="30"/>
          <w:szCs w:val="30"/>
          <w:lang w:val="en-US" w:eastAsia="zh-CN"/>
        </w:rPr>
        <w:t>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8522" w:type="dxa"/>
            <w:noWrap w:val="0"/>
            <w:vAlign w:val="top"/>
          </w:tcPr>
          <w:p>
            <w:pPr>
              <w:numPr>
                <w:ilvl w:val="0"/>
                <w:numId w:val="0"/>
              </w:numPr>
              <w:rPr>
                <w:rFonts w:hint="eastAsia" w:ascii="仿宋_GB2312" w:hAnsi="仿宋_GB2312" w:eastAsia="仿宋_GB2312" w:cs="仿宋_GB2312"/>
                <w:color w:val="000000" w:themeColor="text1"/>
                <w:sz w:val="30"/>
                <w:szCs w:val="30"/>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vertAlign w:val="baseline"/>
                <w:lang w:val="en-US" w:eastAsia="zh-CN"/>
                <w14:textFill>
                  <w14:solidFill>
                    <w14:schemeClr w14:val="tx1"/>
                  </w14:solidFill>
                </w14:textFill>
              </w:rPr>
              <w:t>(如选是，请填写属于军民通用标准的理由及与军方协调情况)</w:t>
            </w:r>
          </w:p>
          <w:p>
            <w:pPr>
              <w:numPr>
                <w:ilvl w:val="0"/>
                <w:numId w:val="0"/>
              </w:numPr>
              <w:rPr>
                <w:rFonts w:hint="default" w:ascii="仿宋_GB2312" w:hAnsi="仿宋_GB2312" w:eastAsia="仿宋_GB2312" w:cs="仿宋_GB2312"/>
                <w:sz w:val="30"/>
                <w:szCs w:val="30"/>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602" w:firstLineChars="200"/>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八、请选择可持续发展目标匹配情况（可多选）</w:t>
      </w:r>
    </w:p>
    <w:tbl>
      <w:tblPr>
        <w:tblStyle w:val="4"/>
        <w:tblW w:w="8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center"/>
          </w:tcPr>
          <w:p>
            <w:pPr>
              <w:numPr>
                <w:ilvl w:val="0"/>
                <w:numId w:val="0"/>
              </w:numPr>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可持续发展目标匹配情况</w:t>
            </w:r>
          </w:p>
        </w:tc>
        <w:tc>
          <w:tcPr>
            <w:tcW w:w="4385"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sym w:font="Wingdings" w:char="00A8"/>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vertAlign w:val="baseline"/>
                <w:lang w:val="en-US" w:eastAsia="zh-CN"/>
              </w:rPr>
              <w:t>1.消除贫穷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sym w:font="Wingdings" w:char="00A8"/>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vertAlign w:val="baseline"/>
                <w:lang w:val="en-US" w:eastAsia="zh-CN"/>
              </w:rPr>
              <w:t>2.消除饥饿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sym w:font="Wingdings" w:char="00A8"/>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vertAlign w:val="baseline"/>
                <w:lang w:val="en-US" w:eastAsia="zh-CN"/>
              </w:rPr>
              <w:t>3.良好健康与福祉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sym w:font="Wingdings" w:char="00A8"/>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vertAlign w:val="baseline"/>
                <w:lang w:val="en-US" w:eastAsia="zh-CN"/>
              </w:rPr>
              <w:t>4.优质教育</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sym w:font="Wingdings" w:char="00A8"/>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vertAlign w:val="baseline"/>
                <w:lang w:val="en-US" w:eastAsia="zh-CN"/>
              </w:rPr>
              <w:t>5.性别平等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sym w:font="Wingdings" w:char="00A8"/>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vertAlign w:val="baseline"/>
                <w:lang w:val="en-US" w:eastAsia="zh-CN"/>
              </w:rPr>
              <w:t>6.清洁饮水和卫生设施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sym w:font="Wingdings" w:char="00A8"/>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vertAlign w:val="baseline"/>
                <w:lang w:val="en-US" w:eastAsia="zh-CN"/>
              </w:rPr>
              <w:t>7.廉价和清洁能源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sym w:font="Wingdings" w:char="00A8"/>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vertAlign w:val="baseline"/>
                <w:lang w:val="en-US" w:eastAsia="zh-CN"/>
              </w:rPr>
              <w:t>8.体面工作和经济增长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sym w:font="Wingdings" w:char="00A8"/>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vertAlign w:val="baseline"/>
                <w:lang w:val="en-US" w:eastAsia="zh-CN"/>
              </w:rPr>
              <w:t>9.工业、创新和基础设施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sym w:font="Wingdings" w:char="00A8"/>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vertAlign w:val="baseline"/>
                <w:lang w:val="en-US" w:eastAsia="zh-CN"/>
              </w:rPr>
              <w:t>10.缩小差距</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sym w:font="Wingdings" w:char="00A8"/>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vertAlign w:val="baseline"/>
                <w:lang w:val="en-US" w:eastAsia="zh-CN"/>
              </w:rPr>
              <w:t>11.可持续城市和社区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sym w:font="Wingdings" w:char="00A8"/>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vertAlign w:val="baseline"/>
                <w:lang w:val="en-US" w:eastAsia="zh-CN"/>
              </w:rPr>
              <w:t>12.负责任的消费和生产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sym w:font="Wingdings" w:char="00A8"/>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vertAlign w:val="baseline"/>
                <w:lang w:val="en-US" w:eastAsia="zh-CN"/>
              </w:rPr>
              <w:t>13.气候行动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sym w:font="Wingdings" w:char="00A8"/>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vertAlign w:val="baseline"/>
                <w:lang w:val="en-US" w:eastAsia="zh-CN"/>
              </w:rPr>
              <w:t>14.水下生物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sym w:font="Wingdings" w:char="00A8"/>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vertAlign w:val="baseline"/>
                <w:lang w:val="en-US" w:eastAsia="zh-CN"/>
              </w:rPr>
              <w:t>15.陆地生物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sym w:font="Wingdings" w:char="00A8"/>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vertAlign w:val="baseline"/>
                <w:lang w:val="en-US" w:eastAsia="zh-CN"/>
              </w:rPr>
              <w:t>16.和平、正义与强大机构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sym w:font="Wingdings" w:char="00A8"/>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vertAlign w:val="baseline"/>
                <w:lang w:val="en-US" w:eastAsia="zh-CN"/>
              </w:rPr>
              <w:t>17.促进目标实现的伙伴关系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sym w:font="Wingdings" w:char="00A8"/>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vertAlign w:val="baseline"/>
                <w:lang w:val="en-US" w:eastAsia="zh-CN"/>
              </w:rPr>
              <w:t>以上均不符合</w:t>
            </w:r>
          </w:p>
        </w:tc>
      </w:tr>
    </w:tbl>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ind w:left="450" w:leftChars="0" w:firstLine="0" w:firstLineChars="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拟申报为以下专项：</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448" w:leftChars="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sym w:font="Wingdings" w:char="00A8"/>
      </w:r>
      <w:r>
        <w:rPr>
          <w:rFonts w:hint="eastAsia" w:ascii="仿宋_GB2312" w:hAnsi="仿宋_GB2312" w:eastAsia="仿宋_GB2312" w:cs="仿宋_GB2312"/>
          <w:sz w:val="30"/>
          <w:szCs w:val="30"/>
          <w:lang w:val="en-US" w:eastAsia="zh-CN"/>
        </w:rPr>
        <w:t xml:space="preserve"> 碳达峰与碳中和专项</w:t>
      </w:r>
    </w:p>
    <w:p>
      <w:pPr>
        <w:keepNext w:val="0"/>
        <w:keepLines w:val="0"/>
        <w:pageBreakBefore w:val="0"/>
        <w:widowControl w:val="0"/>
        <w:numPr>
          <w:ilvl w:val="0"/>
          <w:numId w:val="0"/>
        </w:numPr>
        <w:kinsoku/>
        <w:wordWrap/>
        <w:overflowPunct/>
        <w:topLinePunct w:val="0"/>
        <w:autoSpaceDE/>
        <w:autoSpaceDN/>
        <w:bidi w:val="0"/>
        <w:adjustRightInd/>
        <w:snapToGrid/>
        <w:ind w:left="448" w:leftChars="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sym w:font="Wingdings" w:char="00A8"/>
      </w:r>
      <w:r>
        <w:rPr>
          <w:rFonts w:hint="eastAsia" w:ascii="仿宋_GB2312" w:hAnsi="仿宋_GB2312" w:eastAsia="仿宋_GB2312" w:cs="仿宋_GB2312"/>
          <w:sz w:val="30"/>
          <w:szCs w:val="30"/>
          <w:lang w:val="en-US" w:eastAsia="zh-CN"/>
        </w:rPr>
        <w:t xml:space="preserve"> 适老化改造专项</w:t>
      </w:r>
    </w:p>
    <w:p>
      <w:pPr>
        <w:keepNext w:val="0"/>
        <w:keepLines w:val="0"/>
        <w:pageBreakBefore w:val="0"/>
        <w:widowControl w:val="0"/>
        <w:numPr>
          <w:ilvl w:val="0"/>
          <w:numId w:val="0"/>
        </w:numPr>
        <w:kinsoku/>
        <w:wordWrap/>
        <w:overflowPunct/>
        <w:topLinePunct w:val="0"/>
        <w:autoSpaceDE/>
        <w:autoSpaceDN/>
        <w:bidi w:val="0"/>
        <w:adjustRightInd/>
        <w:snapToGrid/>
        <w:ind w:left="448" w:leftChars="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sym w:font="Wingdings" w:char="00A8"/>
      </w:r>
      <w:r>
        <w:rPr>
          <w:rFonts w:hint="eastAsia" w:ascii="仿宋_GB2312" w:hAnsi="仿宋_GB2312" w:eastAsia="仿宋_GB2312" w:cs="仿宋_GB2312"/>
          <w:sz w:val="30"/>
          <w:szCs w:val="30"/>
          <w:lang w:val="en-US" w:eastAsia="zh-CN"/>
        </w:rPr>
        <w:t xml:space="preserve"> 无  </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ind w:firstLine="602" w:firstLineChars="200"/>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十、对标准实施的有关考虑。</w:t>
      </w:r>
    </w:p>
    <w:p>
      <w:pPr>
        <w:numPr>
          <w:ilvl w:val="0"/>
          <w:numId w:val="0"/>
        </w:numPr>
        <w:rPr>
          <w:rFonts w:hint="eastAsia" w:ascii="仿宋_GB2312" w:hAnsi="仿宋_GB2312" w:eastAsia="仿宋_GB2312" w:cs="仿宋_GB2312"/>
          <w:sz w:val="30"/>
          <w:szCs w:val="30"/>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ind w:firstLine="602" w:firstLineChars="200"/>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十一、项目联系人及联系方式。</w:t>
      </w:r>
    </w:p>
    <w:p>
      <w:pPr>
        <w:numPr>
          <w:ilvl w:val="0"/>
          <w:numId w:val="0"/>
        </w:numPr>
        <w:rPr>
          <w:rFonts w:hint="eastAsia" w:ascii="仿宋_GB2312" w:hAnsi="仿宋_GB2312" w:eastAsia="仿宋_GB2312" w:cs="仿宋_GB2312"/>
          <w:sz w:val="30"/>
          <w:szCs w:val="30"/>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ind w:firstLine="602" w:firstLineChars="200"/>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十二、知识产权承诺：</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我单位保证在本标准申报和制修订的任何阶段，所提交的任何标准项目材料，尤其是标准内容、技术方案等不存在任何侵犯他人知识产权的情形，不会产生因第三方提出侵犯其著作权、专利权或其它知识产权而引起的法律和经济纠纷，如因著作权、专利权或其它知识产权而引起法律和经济纠纷，由我单位承担所有相关责任。</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我单位保证在标准申报和制修订的任何阶段，遵守《国家标准涉及专利的管理规定（暂行）》的相关要求，对于标准中涉及的必要专利，我单位承诺参与标准制修订的组织或者个人将尽早向全国科技评估标委会披露其拥有和知悉的必要专利，同时提供有关专利信息及相应证明材料，并对所提供证明材料的真实性负责。同时，专利权人或专利申请人将向标委会提交专利实施许可声明，</w:t>
      </w:r>
      <w:r>
        <w:rPr>
          <w:rFonts w:hint="eastAsia" w:ascii="仿宋_GB2312" w:hAnsi="仿宋_GB2312" w:eastAsia="仿宋_GB2312" w:cs="仿宋_GB2312"/>
          <w:b w:val="0"/>
          <w:bCs w:val="0"/>
          <w:sz w:val="32"/>
          <w:szCs w:val="40"/>
          <w:lang w:val="en-US" w:eastAsia="zh-CN"/>
        </w:rPr>
        <w:t>同意在公平、合理、无歧视基础上，免费许可或收费许可任何组织或者个人在实施该国家标准时实施其专利。</w:t>
      </w:r>
      <w:r>
        <w:rPr>
          <w:rFonts w:hint="eastAsia" w:ascii="仿宋_GB2312" w:hAnsi="仿宋_GB2312" w:eastAsia="仿宋_GB2312" w:cs="仿宋_GB2312"/>
          <w:b w:val="0"/>
          <w:bCs w:val="0"/>
          <w:sz w:val="30"/>
          <w:szCs w:val="30"/>
          <w:lang w:val="en-US" w:eastAsia="zh-CN"/>
        </w:rPr>
        <w:t>如果专利权人或专利申请人转让或转移该专利时，应当事先告知受让人该专利实施许可声明的内容，并保证受让人同意受该专利实施许可声明的约束。</w:t>
      </w:r>
    </w:p>
    <w:p>
      <w:pPr>
        <w:pStyle w:val="7"/>
        <w:rPr>
          <w:rFonts w:hint="eastAsia" w:ascii="仿宋_GB2312" w:hAnsi="仿宋_GB2312" w:eastAsia="仿宋_GB2312" w:cs="仿宋_GB2312"/>
          <w:b w:val="0"/>
          <w:bCs w:val="0"/>
          <w:sz w:val="30"/>
          <w:szCs w:val="30"/>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eastAsia" w:ascii="仿宋_GB2312" w:hAnsi="仿宋_GB2312" w:eastAsia="仿宋_GB2312" w:cs="仿宋_GB2312"/>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600" w:firstLineChars="200"/>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 xml:space="preserve">                   法定代表人签字：</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600" w:firstLineChars="200"/>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 xml:space="preserve">                                  （单位公章）</w:t>
      </w:r>
    </w:p>
    <w:p>
      <w:pPr>
        <w:numPr>
          <w:ilvl w:val="0"/>
          <w:numId w:val="0"/>
        </w:numPr>
        <w:ind w:leftChars="200"/>
      </w:pPr>
      <w:r>
        <w:rPr>
          <w:rFonts w:hint="eastAsia" w:ascii="仿宋_GB2312" w:hAnsi="仿宋_GB2312" w:eastAsia="仿宋_GB2312" w:cs="仿宋_GB2312"/>
          <w:b w:val="0"/>
          <w:bCs w:val="0"/>
          <w:sz w:val="30"/>
          <w:szCs w:val="30"/>
          <w:lang w:val="en-US" w:eastAsia="zh-CN"/>
        </w:rPr>
        <w:t xml:space="preserve">                                   年   月  日 </w:t>
      </w:r>
    </w:p>
    <w:p>
      <w:pPr>
        <w:rPr>
          <w:rFonts w:hint="eastAsia" w:ascii="仿宋_GB2312" w:hAnsi="仿宋_GB2312" w:eastAsia="仿宋_GB2312" w:cs="仿宋_GB2312"/>
          <w:sz w:val="30"/>
          <w:szCs w:val="30"/>
          <w:lang w:eastAsia="zh-CN"/>
        </w:rPr>
      </w:pPr>
    </w:p>
    <w:p>
      <w:pPr>
        <w:rPr>
          <w:rFonts w:hint="eastAsia"/>
          <w:lang w:eastAsia="zh-CN"/>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98EDD"/>
    <w:multiLevelType w:val="singleLevel"/>
    <w:tmpl w:val="ADA98EDD"/>
    <w:lvl w:ilvl="0" w:tentative="0">
      <w:start w:val="9"/>
      <w:numFmt w:val="chineseCounting"/>
      <w:suff w:val="nothing"/>
      <w:lvlText w:val="%1、"/>
      <w:lvlJc w:val="left"/>
      <w:pPr>
        <w:ind w:left="450" w:leftChars="0" w:firstLine="0" w:firstLineChars="0"/>
      </w:pPr>
      <w:rPr>
        <w:rFonts w:hint="eastAsia"/>
      </w:rPr>
    </w:lvl>
  </w:abstractNum>
  <w:abstractNum w:abstractNumId="1">
    <w:nsid w:val="DA05D28F"/>
    <w:multiLevelType w:val="singleLevel"/>
    <w:tmpl w:val="DA05D28F"/>
    <w:lvl w:ilvl="0" w:tentative="0">
      <w:start w:val="1"/>
      <w:numFmt w:val="chineseCounting"/>
      <w:suff w:val="nothing"/>
      <w:lvlText w:val="%1、"/>
      <w:lvlJc w:val="left"/>
      <w:rPr>
        <w:rFonts w:hint="eastAsia"/>
      </w:rPr>
    </w:lvl>
  </w:abstractNum>
  <w:abstractNum w:abstractNumId="2">
    <w:nsid w:val="3ADC7F28"/>
    <w:multiLevelType w:val="singleLevel"/>
    <w:tmpl w:val="3ADC7F28"/>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MzA2NTEzYjI3YTg1NWIyODNmYmEwMjhkOGU0YjQifQ=="/>
  </w:docVars>
  <w:rsids>
    <w:rsidRoot w:val="145F7A24"/>
    <w:rsid w:val="145F7A24"/>
    <w:rsid w:val="27CA0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autoRedefine/>
    <w:qFormat/>
    <w:uiPriority w:val="0"/>
    <w:pPr>
      <w:keepNext/>
      <w:keepLines/>
      <w:spacing w:before="340" w:after="330" w:line="360" w:lineRule="auto"/>
      <w:ind w:firstLine="148" w:firstLineChars="49"/>
      <w:jc w:val="left"/>
      <w:outlineLvl w:val="0"/>
    </w:pPr>
    <w:rPr>
      <w:rFonts w:ascii="宋体" w:hAnsi="宋体" w:eastAsia="黑体" w:cs="宋体"/>
      <w:b/>
      <w:color w:val="000000"/>
      <w:kern w:val="0"/>
      <w:sz w:val="30"/>
      <w:szCs w:val="30"/>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标题 1 Char"/>
    <w:link w:val="2"/>
    <w:autoRedefine/>
    <w:qFormat/>
    <w:uiPriority w:val="0"/>
    <w:rPr>
      <w:rFonts w:ascii="宋体" w:hAnsi="宋体" w:eastAsia="黑体" w:cs="宋体"/>
      <w:b/>
      <w:color w:val="000000"/>
      <w:kern w:val="0"/>
      <w:sz w:val="30"/>
      <w:szCs w:val="30"/>
    </w:rPr>
  </w:style>
  <w:style w:type="paragraph" w:customStyle="1" w:styleId="7">
    <w:name w:val="Heading4"/>
    <w:basedOn w:val="1"/>
    <w:next w:val="1"/>
    <w:autoRedefine/>
    <w:qFormat/>
    <w:uiPriority w:val="99"/>
    <w:pPr>
      <w:spacing w:line="400" w:lineRule="exact"/>
    </w:pPr>
    <w:rPr>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2024-03-07T03:30:00Z</dcterms:created>
  <dc:creator>昝婷婷</dc:creator>
  <cp:lastModifiedBy>昝婷婷</cp:lastModifiedBy>
  <dcterms:modified xsi:type="dcterms:W3CDTF">2024-03-07T03:31:00Z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C3CCC5F5A5864511B99069963F589A35_11</vt:lpwstr>
  </property>
</Properties>
</file>